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5351"/>
      </w:tblGrid>
      <w:tr w:rsidR="00DA1D00" w:rsidRPr="000202EA" w:rsidTr="00B415EE">
        <w:trPr>
          <w:tblCellSpacing w:w="0" w:type="dxa"/>
        </w:trPr>
        <w:tc>
          <w:tcPr>
            <w:tcW w:w="3951" w:type="dxa"/>
          </w:tcPr>
          <w:p w:rsidR="00DA1D00" w:rsidRPr="00B84041" w:rsidRDefault="00DA1D00" w:rsidP="00B415E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PHÒNG GD VÀ ĐT QUẬN GÒ VẤP</w:t>
            </w:r>
          </w:p>
          <w:p w:rsidR="00DA1D00" w:rsidRPr="00B84041" w:rsidRDefault="00DA1D00" w:rsidP="00DA1D00">
            <w:pPr>
              <w:outlineLvl w:val="1"/>
              <w:rPr>
                <w:rFonts w:ascii="Times New Roman" w:hAnsi="Times New Roman"/>
                <w:b/>
                <w:bCs/>
              </w:rPr>
            </w:pPr>
            <w:r w:rsidRPr="00B84041">
              <w:rPr>
                <w:rFonts w:ascii="Times New Roman" w:hAnsi="Times New Roman"/>
                <w:b/>
                <w:bCs/>
              </w:rPr>
              <w:t xml:space="preserve">TRƯỜNG THCS </w:t>
            </w:r>
            <w:r>
              <w:rPr>
                <w:rFonts w:ascii="Times New Roman" w:hAnsi="Times New Roman"/>
                <w:b/>
                <w:bCs/>
              </w:rPr>
              <w:t>HUỲNH VĂN NGHỆ</w:t>
            </w:r>
          </w:p>
          <w:p w:rsidR="00DA1D00" w:rsidRPr="00370C6C" w:rsidRDefault="006C6C72" w:rsidP="00B415EE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line id="_x0000_s1027" style="position:absolute;left:0;text-align:left;z-index:251657216" from="27.15pt,.8pt" to="171.2pt,.8pt">
                  <w10:wrap type="square"/>
                </v:line>
              </w:pict>
            </w:r>
            <w:proofErr w:type="spellStart"/>
            <w:r w:rsidR="00DA1D00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DA1D0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bookmarkStart w:id="0" w:name="_GoBack"/>
            <w:bookmarkEnd w:id="0"/>
            <w:r w:rsidR="003A13BF">
              <w:rPr>
                <w:rFonts w:ascii="Times New Roman" w:hAnsi="Times New Roman"/>
                <w:sz w:val="24"/>
                <w:szCs w:val="24"/>
              </w:rPr>
              <w:t xml:space="preserve">  / KH- </w:t>
            </w:r>
            <w:r w:rsidR="00DA1D00">
              <w:rPr>
                <w:rFonts w:ascii="Times New Roman" w:hAnsi="Times New Roman"/>
                <w:sz w:val="24"/>
                <w:szCs w:val="24"/>
              </w:rPr>
              <w:t>HVN</w:t>
            </w:r>
            <w:r w:rsidR="003A13BF">
              <w:rPr>
                <w:rFonts w:ascii="Times New Roman" w:hAnsi="Times New Roman"/>
                <w:sz w:val="24"/>
                <w:szCs w:val="24"/>
              </w:rPr>
              <w:t>- YT</w:t>
            </w:r>
          </w:p>
        </w:tc>
        <w:tc>
          <w:tcPr>
            <w:tcW w:w="5387" w:type="dxa"/>
          </w:tcPr>
          <w:p w:rsidR="00DA1D00" w:rsidRPr="009A3031" w:rsidRDefault="00DA1D00" w:rsidP="00B41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3031">
              <w:rPr>
                <w:rFonts w:ascii="Times New Roman" w:hAnsi="Times New Roman"/>
                <w:b/>
                <w:sz w:val="24"/>
                <w:szCs w:val="24"/>
              </w:rPr>
              <w:t xml:space="preserve"> 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9A3031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NAM</w:t>
                    </w:r>
                  </w:smartTag>
                </w:smartTag>
              </w:smartTag>
            </w:smartTag>
          </w:p>
          <w:p w:rsidR="00DA1D00" w:rsidRDefault="006C6C72" w:rsidP="00B41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line id="_x0000_s1026" style="position:absolute;z-index:251658240" from="52.15pt,15.4pt" to="196.2pt,15.4pt"/>
              </w:pict>
            </w:r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>      </w:t>
            </w:r>
            <w:r w:rsidR="00DA1D00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  <w:r w:rsidR="00DA1D00" w:rsidRPr="009A3031">
              <w:rPr>
                <w:rFonts w:ascii="Times New Roman" w:hAnsi="Times New Roman"/>
                <w:b/>
                <w:sz w:val="24"/>
                <w:szCs w:val="24"/>
              </w:rPr>
              <w:t>      </w:t>
            </w:r>
          </w:p>
          <w:p w:rsidR="00DA1D00" w:rsidRPr="009A3031" w:rsidRDefault="00DA1D00" w:rsidP="00B41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3031">
              <w:rPr>
                <w:rFonts w:ascii="Times New Roman" w:hAnsi="Times New Roman"/>
                <w:b/>
                <w:sz w:val="24"/>
                <w:szCs w:val="24"/>
              </w:rPr>
              <w:t>   </w:t>
            </w:r>
            <w:r w:rsidRPr="009A30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    </w:t>
            </w:r>
          </w:p>
          <w:p w:rsidR="00DA1D00" w:rsidRPr="000202EA" w:rsidRDefault="00DA1D00" w:rsidP="00B41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Gò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Vấp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9</w:t>
            </w:r>
            <w:r w:rsidRPr="000202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02EA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0202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15</w:t>
            </w:r>
          </w:p>
        </w:tc>
      </w:tr>
    </w:tbl>
    <w:p w:rsidR="00466826" w:rsidRDefault="00466826">
      <w:pPr>
        <w:rPr>
          <w:rFonts w:ascii="Times New Roman" w:eastAsia="Times New Roman" w:hAnsi="Times New Roman" w:cs="Times New Roman"/>
          <w:sz w:val="26"/>
        </w:rPr>
      </w:pPr>
    </w:p>
    <w:p w:rsidR="00466826" w:rsidRDefault="00540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KẾ HOẠCH </w:t>
      </w:r>
    </w:p>
    <w:p w:rsidR="00466826" w:rsidRDefault="00540A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PHÒNG CHỐNG TAI NẠN THƯƠNG TÍCH</w:t>
      </w:r>
    </w:p>
    <w:p w:rsidR="00466826" w:rsidRDefault="004E770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NĂM HỌC: 2015 -2016</w:t>
      </w:r>
    </w:p>
    <w:p w:rsidR="00466826" w:rsidRDefault="00540A8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I/ MỤC ĐÍCH YÊU CẦU:</w:t>
      </w:r>
    </w:p>
    <w:p w:rsidR="00466826" w:rsidRDefault="00540A8B" w:rsidP="00E0699F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gìn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sz w:val="28"/>
        </w:rPr>
        <w:t>nạn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ngừa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cháy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tai </w:t>
      </w:r>
      <w:proofErr w:type="spellStart"/>
      <w:r>
        <w:rPr>
          <w:rFonts w:ascii="Times New Roman" w:eastAsia="Times New Roman" w:hAnsi="Times New Roman" w:cs="Times New Roman"/>
          <w:sz w:val="28"/>
        </w:rPr>
        <w:t>nạn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xảy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II/ CÁC NỘI DUNG GIÁO DỤC HỌC SINH:</w:t>
      </w:r>
    </w:p>
    <w:p w:rsidR="00466826" w:rsidRDefault="00540A8B" w:rsidP="00E0699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1/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ngã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66826" w:rsidRDefault="00540A8B" w:rsidP="00E0699F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leo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trèo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đứng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lang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can, </w:t>
      </w:r>
      <w:proofErr w:type="spellStart"/>
      <w:r>
        <w:rPr>
          <w:rFonts w:ascii="Times New Roman" w:eastAsia="Times New Roman" w:hAnsi="Times New Roman" w:cs="Times New Roman"/>
          <w:sz w:val="28"/>
        </w:rPr>
        <w:t>bệ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cửa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tuột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thang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466826" w:rsidRDefault="00540A8B" w:rsidP="00E0699F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vứt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bừa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bịch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vỏ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….)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đảm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vấp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ngã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đứng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lầu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vứt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ném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bất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trèo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gãy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đùa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vói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loại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(song </w:t>
      </w:r>
      <w:proofErr w:type="spellStart"/>
      <w:r>
        <w:rPr>
          <w:rFonts w:ascii="Times New Roman" w:eastAsia="Times New Roman" w:hAnsi="Times New Roman" w:cs="Times New Roman"/>
          <w:sz w:val="28"/>
        </w:rPr>
        <w:t>cửa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ghế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hỏng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Nghiêm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cấm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nhọn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bén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dao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lưỡi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lam…), </w:t>
      </w:r>
      <w:proofErr w:type="spellStart"/>
      <w:r>
        <w:rPr>
          <w:rFonts w:ascii="Times New Roman" w:eastAsia="Times New Roman" w:hAnsi="Times New Roman" w:cs="Times New Roman"/>
          <w:sz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</w:rPr>
        <w:t>vũ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pháo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diêm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quẹt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hột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quẹt</w:t>
      </w:r>
      <w:proofErr w:type="spellEnd"/>
      <w:r>
        <w:rPr>
          <w:rFonts w:ascii="Times New Roman" w:eastAsia="Times New Roman" w:hAnsi="Times New Roman" w:cs="Times New Roman"/>
          <w:sz w:val="28"/>
        </w:rPr>
        <w:t>…)…..</w:t>
      </w:r>
      <w:proofErr w:type="spellStart"/>
      <w:r>
        <w:rPr>
          <w:rFonts w:ascii="Times New Roman" w:eastAsia="Times New Roman" w:hAnsi="Times New Roman" w:cs="Times New Roman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bắn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thun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bắn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bi, </w:t>
      </w:r>
      <w:proofErr w:type="spellStart"/>
      <w:r>
        <w:rPr>
          <w:rFonts w:ascii="Times New Roman" w:eastAsia="Times New Roman" w:hAnsi="Times New Roman" w:cs="Times New Roman"/>
          <w:sz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tuyến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trét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hỏng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</w:rPr>
        <w:t>bông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giấy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xịt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keo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,….( </w:t>
      </w:r>
      <w:proofErr w:type="spellStart"/>
      <w:r>
        <w:rPr>
          <w:rFonts w:ascii="Times New Roman" w:eastAsia="Times New Roman" w:hAnsi="Times New Roman" w:cs="Times New Roman"/>
          <w:sz w:val="28"/>
        </w:rPr>
        <w:t>rất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phổi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466826" w:rsidRDefault="00466826" w:rsidP="00E0699F">
      <w:pPr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66826" w:rsidRDefault="00540A8B" w:rsidP="00E0699F">
      <w:pPr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2/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nạn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66826" w:rsidRDefault="00540A8B" w:rsidP="00E0699F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chấp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hành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luật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giao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thông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đi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bộ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đi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xe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đ</w:t>
      </w:r>
      <w:r>
        <w:rPr>
          <w:rFonts w:ascii="Times New Roman" w:eastAsia="Times New Roman" w:hAnsi="Times New Roman" w:cs="Times New Roman"/>
          <w:sz w:val="28"/>
        </w:rPr>
        <w:t>ạp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gắn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</w:rPr>
        <w:t>Lưu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</w:rPr>
        <w:t>chấp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vạch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qu</w:t>
      </w:r>
      <w:r w:rsidR="00387CBA">
        <w:rPr>
          <w:rFonts w:ascii="Times New Roman" w:eastAsia="Times New Roman" w:hAnsi="Times New Roman" w:cs="Times New Roman"/>
          <w:sz w:val="28"/>
        </w:rPr>
        <w:t xml:space="preserve">a hay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không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Không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chơi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đùa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tụ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đạp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giang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buông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giỡn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hớt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gắn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….. </w:t>
      </w:r>
    </w:p>
    <w:p w:rsidR="00466826" w:rsidRDefault="00540A8B" w:rsidP="00E0699F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đùa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cổng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quanh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ùn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tắc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sz w:val="28"/>
        </w:rPr>
        <w:t>nạn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3/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nhau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bạo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66826" w:rsidRDefault="00540A8B" w:rsidP="00E0699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xích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chặn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xảy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4E7704" w:rsidP="00E0699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N</w:t>
      </w:r>
      <w:r w:rsidR="00540A8B">
        <w:rPr>
          <w:rFonts w:ascii="Times New Roman" w:eastAsia="Times New Roman" w:hAnsi="Times New Roman" w:cs="Times New Roman"/>
          <w:sz w:val="28"/>
        </w:rPr>
        <w:t>hắc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nhở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và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xử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lý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kỷ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luật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nặng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học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xúi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gi</w:t>
      </w:r>
      <w:r w:rsidR="00540A8B">
        <w:rPr>
          <w:rFonts w:ascii="Times New Roman" w:eastAsia="Times New Roman" w:hAnsi="Times New Roman" w:cs="Times New Roman"/>
          <w:sz w:val="28"/>
        </w:rPr>
        <w:t>ục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kéo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bè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phái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gây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sự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đánh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nhau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và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ngoài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nhà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40A8B"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 w:rsidR="00540A8B"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4/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bỏng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điện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giật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cháy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nổ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66826" w:rsidRDefault="00540A8B" w:rsidP="00E0699F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nghịch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ổ </w:t>
      </w:r>
      <w:proofErr w:type="spellStart"/>
      <w:r>
        <w:rPr>
          <w:rFonts w:ascii="Times New Roman" w:eastAsia="Times New Roman" w:hAnsi="Times New Roman" w:cs="Times New Roman"/>
          <w:sz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chì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quạt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466826" w:rsidRDefault="00540A8B" w:rsidP="00E0699F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đứng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gốc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cột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sét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lúc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gãy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đổ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đảm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nhắc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buổi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ngặt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liều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</w:rPr>
        <w:t>)…..</w:t>
      </w:r>
    </w:p>
    <w:p w:rsidR="00466826" w:rsidRDefault="00540A8B" w:rsidP="00E0699F">
      <w:pPr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5/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ngộ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66826" w:rsidRDefault="00540A8B" w:rsidP="00E0699F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</w:rPr>
        <w:t>bụi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bẩn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ruồi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nhặn</w:t>
      </w:r>
      <w:r w:rsidR="00C71C84">
        <w:rPr>
          <w:rFonts w:ascii="Times New Roman" w:eastAsia="Times New Roman" w:hAnsi="Times New Roman" w:cs="Times New Roman"/>
          <w:sz w:val="28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rác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rưởi</w:t>
      </w:r>
      <w:proofErr w:type="spellEnd"/>
      <w:r>
        <w:rPr>
          <w:rFonts w:ascii="Times New Roman" w:eastAsia="Times New Roman" w:hAnsi="Times New Roman" w:cs="Times New Roman"/>
          <w:sz w:val="28"/>
        </w:rPr>
        <w:t>,….)</w:t>
      </w:r>
    </w:p>
    <w:p w:rsidR="00466826" w:rsidRDefault="00540A8B" w:rsidP="00E0699F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chiên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xào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dầu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nguội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nguồn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gốc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rửa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466826" w:rsidRDefault="00540A8B" w:rsidP="00E0699F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đun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sôi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đóng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chai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nguồn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gốc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</w:rPr>
        <w:t>…..</w:t>
      </w:r>
      <w:proofErr w:type="spellStart"/>
      <w:r>
        <w:rPr>
          <w:rFonts w:ascii="Times New Roman" w:eastAsia="Times New Roman" w:hAnsi="Times New Roman" w:cs="Times New Roman"/>
          <w:sz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6/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dịch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bệnh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66826" w:rsidRDefault="00540A8B" w:rsidP="00E0699F">
      <w:pPr>
        <w:numPr>
          <w:ilvl w:val="0"/>
          <w:numId w:val="7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dịch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bệnh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ngừa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dịch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xảy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III/ BIỆN PHÁP: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Nhắc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xảy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sz w:val="28"/>
        </w:rPr>
        <w:t>nạn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sz w:val="28"/>
        </w:rPr>
        <w:t>nhiễm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</w:rPr>
        <w:t>Giám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87CBA">
        <w:rPr>
          <w:rFonts w:ascii="Times New Roman" w:eastAsia="Times New Roman" w:hAnsi="Times New Roman" w:cs="Times New Roman"/>
          <w:sz w:val="28"/>
        </w:rPr>
        <w:t xml:space="preserve"> Ban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Giám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hiệu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Giám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7CBA">
        <w:rPr>
          <w:rFonts w:ascii="Times New Roman" w:eastAsia="Times New Roman" w:hAnsi="Times New Roman" w:cs="Times New Roman"/>
          <w:sz w:val="28"/>
        </w:rPr>
        <w:t>thị</w:t>
      </w:r>
      <w:proofErr w:type="spellEnd"/>
      <w:r w:rsidR="00387CBA">
        <w:rPr>
          <w:rFonts w:ascii="Times New Roman" w:eastAsia="Times New Roman" w:hAnsi="Times New Roman" w:cs="Times New Roman"/>
          <w:sz w:val="28"/>
        </w:rPr>
        <w:t>, 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nhằm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xảy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sz w:val="28"/>
        </w:rPr>
        <w:t>nạn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Dọn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dẹp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xử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hỏng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8"/>
        </w:rPr>
        <w:t>nếu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thuận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uống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nhắc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mọi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…) </w:t>
      </w:r>
      <w:proofErr w:type="spellStart"/>
      <w:r>
        <w:rPr>
          <w:rFonts w:ascii="Times New Roman" w:eastAsia="Times New Roman" w:hAnsi="Times New Roman" w:cs="Times New Roman"/>
          <w:sz w:val="28"/>
        </w:rPr>
        <w:t>khu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quanh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nhắc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xử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</w:rPr>
        <w:t>tế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xịt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muỗi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>…..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dịch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bệnh</w:t>
      </w:r>
      <w:proofErr w:type="spellEnd"/>
      <w:r>
        <w:rPr>
          <w:rFonts w:ascii="Times New Roman" w:eastAsia="Times New Roman" w:hAnsi="Times New Roman" w:cs="Times New Roman"/>
          <w:sz w:val="28"/>
        </w:rPr>
        <w:t>, AIDS….)</w:t>
      </w:r>
    </w:p>
    <w:p w:rsidR="00466826" w:rsidRDefault="00540A8B" w:rsidP="00E0699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IV/ THỰC HIỆN: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buổi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cờ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Ban </w:t>
      </w:r>
      <w:proofErr w:type="spellStart"/>
      <w:r>
        <w:rPr>
          <w:rFonts w:ascii="Times New Roman" w:eastAsia="Times New Roman" w:hAnsi="Times New Roman" w:cs="Times New Roman"/>
          <w:sz w:val="28"/>
        </w:rPr>
        <w:t>Giám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rút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nghiệm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nhằm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sz w:val="28"/>
        </w:rPr>
        <w:t>nạn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lượt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dung.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-Qua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buổi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Ban </w:t>
      </w:r>
      <w:proofErr w:type="spellStart"/>
      <w:r>
        <w:rPr>
          <w:rFonts w:ascii="Times New Roman" w:eastAsia="Times New Roman" w:hAnsi="Times New Roman" w:cs="Times New Roman"/>
          <w:sz w:val="28"/>
        </w:rPr>
        <w:t>Giám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tin, </w:t>
      </w:r>
      <w:proofErr w:type="spellStart"/>
      <w:r>
        <w:rPr>
          <w:rFonts w:ascii="Times New Roman" w:eastAsia="Times New Roman" w:hAnsi="Times New Roman" w:cs="Times New Roman"/>
          <w:sz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lưu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thêm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nguy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đảm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sz w:val="28"/>
        </w:rPr>
        <w:t>nạn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xảy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ra.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</w:p>
    <w:p w:rsidR="00466826" w:rsidRDefault="00540A8B" w:rsidP="00E0699F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</w:t>
      </w:r>
    </w:p>
    <w:p w:rsidR="00466826" w:rsidRDefault="00540A8B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</w:t>
      </w:r>
    </w:p>
    <w:p w:rsidR="00466826" w:rsidRDefault="00E0699F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DUYỆT CỦA BAN LÃNH ĐẠO</w:t>
      </w:r>
      <w:r w:rsidR="00540A8B">
        <w:rPr>
          <w:rFonts w:ascii="Times New Roman" w:eastAsia="Times New Roman" w:hAnsi="Times New Roman" w:cs="Times New Roman"/>
          <w:b/>
          <w:sz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Y TẾ</w:t>
      </w:r>
    </w:p>
    <w:p w:rsidR="00466826" w:rsidRDefault="00466826">
      <w:pPr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466826" w:rsidRDefault="00466826">
      <w:pPr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466826" w:rsidRDefault="00466826">
      <w:pPr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466826" w:rsidRDefault="00466826">
      <w:pPr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466826" w:rsidRDefault="00466826">
      <w:pPr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466826" w:rsidRDefault="00466826">
      <w:pPr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466826" w:rsidRDefault="00540A8B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</w:t>
      </w:r>
    </w:p>
    <w:p w:rsidR="00466826" w:rsidRDefault="00540A8B">
      <w:pPr>
        <w:ind w:left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</w:t>
      </w:r>
    </w:p>
    <w:sectPr w:rsidR="0046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5A4"/>
    <w:multiLevelType w:val="multilevel"/>
    <w:tmpl w:val="30F0B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B3810"/>
    <w:multiLevelType w:val="multilevel"/>
    <w:tmpl w:val="FF6A2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92F3B"/>
    <w:multiLevelType w:val="multilevel"/>
    <w:tmpl w:val="40A6B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45F41"/>
    <w:multiLevelType w:val="multilevel"/>
    <w:tmpl w:val="0EB45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47574B"/>
    <w:multiLevelType w:val="multilevel"/>
    <w:tmpl w:val="66925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B72AD"/>
    <w:multiLevelType w:val="multilevel"/>
    <w:tmpl w:val="3F7CF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152635"/>
    <w:multiLevelType w:val="multilevel"/>
    <w:tmpl w:val="F7981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6826"/>
    <w:rsid w:val="00387CBA"/>
    <w:rsid w:val="003A13BF"/>
    <w:rsid w:val="00466826"/>
    <w:rsid w:val="004E7704"/>
    <w:rsid w:val="00540A8B"/>
    <w:rsid w:val="006C6C72"/>
    <w:rsid w:val="00754505"/>
    <w:rsid w:val="00C71C84"/>
    <w:rsid w:val="00DA1D00"/>
    <w:rsid w:val="00E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2015-12-15T07:19:00Z</dcterms:created>
  <dcterms:modified xsi:type="dcterms:W3CDTF">2020-03-14T03:26:00Z</dcterms:modified>
</cp:coreProperties>
</file>